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F87" w:rsidRDefault="002B1F87">
      <w:pPr>
        <w:spacing w:line="640" w:lineRule="exact"/>
        <w:jc w:val="center"/>
        <w:rPr>
          <w:rFonts w:ascii="方正小标宋_GBK" w:eastAsia="方正小标宋_GBK" w:hAnsi="方正小标宋_GBK" w:cs="方正小标宋_GBK"/>
          <w:sz w:val="44"/>
          <w:szCs w:val="44"/>
        </w:rPr>
      </w:pPr>
    </w:p>
    <w:p w:rsidR="002B1F87" w:rsidRDefault="002B1F87">
      <w:pPr>
        <w:spacing w:line="640" w:lineRule="exact"/>
        <w:jc w:val="center"/>
        <w:rPr>
          <w:rFonts w:ascii="方正小标宋_GBK" w:eastAsia="方正小标宋_GBK" w:hAnsi="方正小标宋_GBK" w:cs="方正小标宋_GBK"/>
          <w:sz w:val="44"/>
          <w:szCs w:val="44"/>
        </w:rPr>
      </w:pPr>
    </w:p>
    <w:p w:rsidR="002B1F87" w:rsidRDefault="002B1F87">
      <w:pPr>
        <w:spacing w:line="640" w:lineRule="exact"/>
        <w:jc w:val="center"/>
        <w:rPr>
          <w:rFonts w:ascii="方正小标宋_GBK" w:eastAsia="方正小标宋_GBK" w:hAnsi="方正小标宋_GBK" w:cs="方正小标宋_GBK"/>
          <w:sz w:val="44"/>
          <w:szCs w:val="44"/>
        </w:rPr>
      </w:pPr>
    </w:p>
    <w:p w:rsidR="002B1F87" w:rsidRDefault="00565C28">
      <w:pPr>
        <w:spacing w:line="640" w:lineRule="exact"/>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hint="eastAsia"/>
          <w:sz w:val="44"/>
          <w:szCs w:val="44"/>
        </w:rPr>
        <w:t>惠州</w:t>
      </w:r>
      <w:r>
        <w:rPr>
          <w:rFonts w:ascii="方正小标宋_GBK" w:eastAsia="方正小标宋_GBK" w:hAnsi="方正小标宋_GBK" w:cs="方正小标宋_GBK" w:hint="eastAsia"/>
          <w:sz w:val="44"/>
          <w:szCs w:val="44"/>
        </w:rPr>
        <w:t>仲恺高新区</w:t>
      </w:r>
      <w:r>
        <w:rPr>
          <w:rFonts w:ascii="方正小标宋_GBK" w:eastAsia="方正小标宋_GBK" w:hAnsi="方正小标宋_GBK" w:cs="方正小标宋_GBK" w:hint="eastAsia"/>
          <w:sz w:val="44"/>
          <w:szCs w:val="44"/>
        </w:rPr>
        <w:t>国有建设用地使用权</w:t>
      </w:r>
    </w:p>
    <w:p w:rsidR="002B1F87" w:rsidRDefault="00565C28">
      <w:pPr>
        <w:spacing w:line="640" w:lineRule="exact"/>
        <w:jc w:val="center"/>
        <w:rPr>
          <w:rFonts w:ascii="华文中宋" w:eastAsia="华文中宋" w:hAnsi="华文中宋" w:cs="华文中宋"/>
          <w:sz w:val="44"/>
          <w:szCs w:val="44"/>
        </w:rPr>
      </w:pPr>
      <w:r>
        <w:rPr>
          <w:rFonts w:ascii="方正小标宋_GBK" w:eastAsia="方正小标宋_GBK" w:hAnsi="方正小标宋_GBK" w:cs="方正小标宋_GBK" w:hint="eastAsia"/>
          <w:sz w:val="44"/>
          <w:szCs w:val="44"/>
        </w:rPr>
        <w:t>网上挂牌出让竞买须知</w:t>
      </w:r>
    </w:p>
    <w:p w:rsidR="002B1F87" w:rsidRDefault="00565C28">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惠仲土（用地）挂</w:t>
      </w:r>
      <w:r w:rsidR="00F63248">
        <w:rPr>
          <w:rFonts w:ascii="仿宋_GB2312" w:eastAsia="仿宋_GB2312" w:hAnsi="仿宋_GB2312" w:cs="仿宋_GB2312" w:hint="eastAsia"/>
          <w:sz w:val="32"/>
          <w:szCs w:val="32"/>
        </w:rPr>
        <w:t>[2025]049</w:t>
      </w:r>
      <w:r>
        <w:rPr>
          <w:rFonts w:ascii="仿宋_GB2312" w:eastAsia="仿宋_GB2312" w:hAnsi="仿宋_GB2312" w:cs="仿宋_GB2312" w:hint="eastAsia"/>
          <w:sz w:val="32"/>
          <w:szCs w:val="32"/>
        </w:rPr>
        <w:t>号</w:t>
      </w:r>
    </w:p>
    <w:p w:rsidR="002B1F87" w:rsidRDefault="002B1F87">
      <w:pPr>
        <w:rPr>
          <w:rFonts w:ascii="仿宋" w:eastAsia="仿宋" w:hAnsi="仿宋" w:cs="仿宋"/>
          <w:sz w:val="32"/>
          <w:szCs w:val="32"/>
        </w:rPr>
      </w:pP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国有建设用地使用权网上挂牌出让，是指在惠州市公共资源交易平台发布挂牌出让公告和须知，竞买人通过</w:t>
      </w:r>
      <w:r>
        <w:rPr>
          <w:rFonts w:eastAsia="仿宋_GB2312"/>
          <w:sz w:val="32"/>
          <w:szCs w:val="32"/>
        </w:rPr>
        <w:t>惠州市公共资源交易中心土地与矿业挂牌电子交易系统</w:t>
      </w:r>
      <w:r>
        <w:rPr>
          <w:rFonts w:ascii="仿宋_GB2312" w:eastAsia="仿宋_GB2312" w:hAnsi="仿宋_GB2312" w:cs="仿宋_GB2312" w:hint="eastAsia"/>
          <w:sz w:val="32"/>
          <w:szCs w:val="32"/>
        </w:rPr>
        <w:t>（以下简称“</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网址：</w:t>
      </w:r>
      <w:r>
        <w:rPr>
          <w:rFonts w:ascii="仿宋_GB2312" w:eastAsia="仿宋_GB2312" w:hAnsi="仿宋_GB2312" w:cs="仿宋_GB2312" w:hint="eastAsia"/>
          <w:sz w:val="32"/>
          <w:szCs w:val="32"/>
        </w:rPr>
        <w:t>https://tdky.hzggzyjy.cn/</w:t>
      </w:r>
      <w:r>
        <w:rPr>
          <w:rFonts w:ascii="仿宋_GB2312" w:eastAsia="仿宋_GB2312" w:hAnsi="仿宋_GB2312" w:cs="仿宋_GB2312" w:hint="eastAsia"/>
          <w:sz w:val="32"/>
          <w:szCs w:val="32"/>
        </w:rPr>
        <w:t>）参与电子挂牌交易的行为。本竞买须知是具备法律约束力的重要文件，竞买人须详细阅读。</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二、本宗国有建设用地使用权网上挂牌出让遵循公开、公平、公正和诚实信用原则。</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三、中华人民共和国境内外的法人和其他组织均可申请竞买，可以单独申请，也可以联合申请。</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挂牌出让公告对竞买资格有特别要求的，以挂牌出让公告为准。</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四、申请人对网上挂牌出让文件有疑问的，可在网上挂牌活动开始前以书面或者口头方式向</w:t>
      </w:r>
      <w:r>
        <w:rPr>
          <w:rFonts w:ascii="仿宋_GB2312" w:eastAsia="仿宋_GB2312" w:hAnsi="仿宋_GB2312" w:cs="仿宋_GB2312" w:hint="eastAsia"/>
          <w:sz w:val="32"/>
          <w:szCs w:val="32"/>
        </w:rPr>
        <w:t>我中心</w:t>
      </w:r>
      <w:r>
        <w:rPr>
          <w:rFonts w:ascii="仿宋_GB2312" w:eastAsia="仿宋_GB2312" w:hAnsi="仿宋_GB2312" w:cs="仿宋_GB2312" w:hint="eastAsia"/>
          <w:sz w:val="32"/>
          <w:szCs w:val="32"/>
        </w:rPr>
        <w:t>咨询。有意竞买者可自行踏勘现场（可在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查阅</w:t>
      </w:r>
      <w:r>
        <w:rPr>
          <w:rFonts w:ascii="仿宋_GB2312" w:eastAsia="仿宋_GB2312" w:hAnsi="仿宋_GB2312" w:cs="仿宋_GB2312" w:hint="eastAsia"/>
          <w:sz w:val="32"/>
          <w:szCs w:val="32"/>
        </w:rPr>
        <w:t>用地红线图</w:t>
      </w:r>
      <w:r>
        <w:rPr>
          <w:rFonts w:ascii="仿宋_GB2312" w:eastAsia="仿宋_GB2312" w:hAnsi="仿宋_GB2312" w:cs="仿宋_GB2312" w:hint="eastAsia"/>
          <w:sz w:val="32"/>
          <w:szCs w:val="32"/>
        </w:rPr>
        <w:t>）。</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五、网上挂牌交易程序</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（一）发布网上挂牌信息</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有关宗地的电子挂牌交易公告等相关信息通过</w:t>
      </w: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中心门户网站、</w:t>
      </w:r>
      <w:r>
        <w:rPr>
          <w:rFonts w:ascii="仿宋_GB2312" w:eastAsia="仿宋_GB2312" w:hAnsi="仿宋_GB2312" w:cs="仿宋_GB2312" w:hint="eastAsia"/>
          <w:sz w:val="32"/>
          <w:szCs w:val="32"/>
        </w:rPr>
        <w:t>我中心</w:t>
      </w:r>
      <w:r>
        <w:rPr>
          <w:rFonts w:ascii="仿宋_GB2312" w:eastAsia="仿宋_GB2312" w:hAnsi="仿宋_GB2312" w:cs="仿宋_GB2312" w:hint="eastAsia"/>
          <w:sz w:val="32"/>
          <w:szCs w:val="32"/>
        </w:rPr>
        <w:t>交易大厅的电子显示屏、中国土地市场网和</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等媒介同步发布。有意竞买者可登录</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网站查询。</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（二）挂牌文件获取</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申请人可在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浏览和下载本宗地网上挂牌出让文件，具体包括：</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、惠州</w:t>
      </w:r>
      <w:r>
        <w:rPr>
          <w:rFonts w:ascii="仿宋_GB2312" w:eastAsia="仿宋_GB2312" w:hAnsi="仿宋_GB2312" w:cs="仿宋_GB2312" w:hint="eastAsia"/>
          <w:sz w:val="32"/>
          <w:szCs w:val="32"/>
        </w:rPr>
        <w:t>仲恺高新区</w:t>
      </w:r>
      <w:r>
        <w:rPr>
          <w:rFonts w:ascii="仿宋_GB2312" w:eastAsia="仿宋_GB2312" w:hAnsi="仿宋_GB2312" w:cs="仿宋_GB2312" w:hint="eastAsia"/>
          <w:sz w:val="32"/>
          <w:szCs w:val="32"/>
        </w:rPr>
        <w:t>国有建设用地使用权网上挂牌出让公告（以下简称“出让公告”）；</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、惠州</w:t>
      </w:r>
      <w:r>
        <w:rPr>
          <w:rFonts w:ascii="仿宋_GB2312" w:eastAsia="仿宋_GB2312" w:hAnsi="仿宋_GB2312" w:cs="仿宋_GB2312" w:hint="eastAsia"/>
          <w:sz w:val="32"/>
          <w:szCs w:val="32"/>
        </w:rPr>
        <w:t>仲恺高新区</w:t>
      </w:r>
      <w:r>
        <w:rPr>
          <w:rFonts w:ascii="仿宋_GB2312" w:eastAsia="仿宋_GB2312" w:hAnsi="仿宋_GB2312" w:cs="仿宋_GB2312" w:hint="eastAsia"/>
          <w:sz w:val="32"/>
          <w:szCs w:val="32"/>
        </w:rPr>
        <w:t>国有建设用地使用权网上挂牌出让竞买须知（以下简称“竞买须知”）；</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宗地现状数码相片</w:t>
      </w:r>
      <w:r>
        <w:rPr>
          <w:rFonts w:ascii="仿宋_GB2312" w:eastAsia="仿宋_GB2312" w:hAnsi="仿宋_GB2312" w:cs="仿宋_GB2312" w:hint="eastAsia"/>
          <w:sz w:val="32"/>
          <w:szCs w:val="32"/>
        </w:rPr>
        <w:t>；</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国有建设用地红线图</w:t>
      </w:r>
      <w:r>
        <w:rPr>
          <w:rFonts w:ascii="仿宋_GB2312" w:eastAsia="仿宋_GB2312" w:hAnsi="仿宋_GB2312" w:cs="仿宋_GB2312" w:hint="eastAsia"/>
          <w:sz w:val="32"/>
          <w:szCs w:val="32"/>
        </w:rPr>
        <w:t>；</w:t>
      </w:r>
    </w:p>
    <w:p w:rsidR="002B1F87" w:rsidRDefault="00565C28">
      <w:pPr>
        <w:widowControl/>
        <w:spacing w:line="560" w:lineRule="exact"/>
        <w:ind w:firstLineChars="200" w:firstLine="640"/>
        <w:jc w:val="left"/>
        <w:rPr>
          <w:rFonts w:eastAsia="仿宋_GB231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、《规划设计条件告知书》；</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、《国有建设用地使用权出让合同》（以下简称“出让合同”）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样本）</w:t>
      </w:r>
      <w:r>
        <w:rPr>
          <w:rFonts w:ascii="仿宋_GB2312" w:eastAsia="仿宋_GB2312" w:hAnsi="仿宋_GB2312" w:cs="仿宋_GB2312" w:hint="eastAsia"/>
          <w:sz w:val="32"/>
          <w:szCs w:val="32"/>
        </w:rPr>
        <w:t>；</w:t>
      </w:r>
    </w:p>
    <w:p w:rsidR="002B1F87" w:rsidRDefault="00565C28" w:rsidP="00F63248">
      <w:pPr>
        <w:pStyle w:val="Style1"/>
        <w:ind w:firstLine="640"/>
        <w:rPr>
          <w:rFonts w:ascii="仿宋_GB2312" w:eastAsia="仿宋_GB2312" w:hAnsi="仿宋_GB2312" w:cs="仿宋_GB2312"/>
          <w:szCs w:val="32"/>
        </w:rPr>
      </w:pPr>
      <w:r>
        <w:rPr>
          <w:rFonts w:ascii="仿宋_GB2312" w:eastAsia="仿宋_GB2312" w:hAnsi="仿宋_GB2312" w:cs="仿宋_GB2312" w:hint="eastAsia"/>
          <w:szCs w:val="32"/>
        </w:rPr>
        <w:t>7</w:t>
      </w:r>
      <w:r>
        <w:rPr>
          <w:rFonts w:ascii="仿宋_GB2312" w:eastAsia="仿宋_GB2312" w:hAnsi="仿宋_GB2312" w:cs="仿宋_GB2312" w:hint="eastAsia"/>
          <w:szCs w:val="32"/>
        </w:rPr>
        <w:t>、《仲恺高新区产业项目监管协议》</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、其他相关文件。</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（三）办理数字证书</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、本宗国有建设用地使用权网上挂牌出让只能在互联网上，通过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进行。只有</w:t>
      </w:r>
      <w:r>
        <w:rPr>
          <w:rFonts w:ascii="仿宋_GB2312" w:eastAsia="仿宋_GB2312" w:hAnsi="仿宋_GB2312" w:cs="仿宋_GB2312" w:hint="eastAsia"/>
          <w:sz w:val="32"/>
          <w:szCs w:val="32"/>
        </w:rPr>
        <w:t>符合竞买资格并</w:t>
      </w:r>
      <w:r>
        <w:rPr>
          <w:rFonts w:ascii="仿宋_GB2312" w:eastAsia="仿宋_GB2312" w:hAnsi="仿宋_GB2312" w:cs="仿宋_GB2312" w:hint="eastAsia"/>
          <w:sz w:val="32"/>
          <w:szCs w:val="32"/>
        </w:rPr>
        <w:t>通过网上注册、办理数字证书、按要求足额交付竞买保证金的申请人，才能参加网上挂牌交易活动。</w:t>
      </w:r>
      <w:r>
        <w:rPr>
          <w:rFonts w:ascii="仿宋_GB2312" w:eastAsia="仿宋_GB2312" w:hAnsi="仿宋_GB2312" w:cs="仿宋_GB2312" w:hint="eastAsia"/>
          <w:sz w:val="32"/>
          <w:szCs w:val="32"/>
        </w:rPr>
        <w:t xml:space="preserve"> </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、办理数字证书是参加本宗地网上挂牌出让活动的必</w:t>
      </w:r>
      <w:r>
        <w:rPr>
          <w:rFonts w:ascii="仿宋_GB2312" w:eastAsia="仿宋_GB2312" w:hAnsi="仿宋_GB2312" w:cs="仿宋_GB2312" w:hint="eastAsia"/>
          <w:sz w:val="32"/>
          <w:szCs w:val="32"/>
        </w:rPr>
        <w:lastRenderedPageBreak/>
        <w:t>经程序，申请人应当携带相关有效证件到广东省数字证书认证中心惠州办理点（地址：广东省惠州市惠城区三新北路</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号市民服务中心</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号楼惠州市公共资源交易中心一楼大厅</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号土地与矿业交易窗口，电话：</w:t>
      </w:r>
      <w:r>
        <w:rPr>
          <w:rFonts w:ascii="仿宋_GB2312" w:eastAsia="仿宋_GB2312" w:hAnsi="仿宋_GB2312" w:cs="仿宋_GB2312" w:hint="eastAsia"/>
          <w:sz w:val="32"/>
          <w:szCs w:val="32"/>
        </w:rPr>
        <w:t>0752-7121029</w:t>
      </w:r>
      <w:r>
        <w:rPr>
          <w:rFonts w:ascii="仿宋_GB2312" w:eastAsia="仿宋_GB2312" w:hAnsi="仿宋_GB2312" w:cs="仿宋_GB2312" w:hint="eastAsia"/>
          <w:sz w:val="32"/>
          <w:szCs w:val="32"/>
        </w:rPr>
        <w:t>）申请办理。</w:t>
      </w:r>
    </w:p>
    <w:p w:rsidR="002B1F87" w:rsidRDefault="00565C2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数字证书的办理流程详见</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上的《数字证书办理指</w:t>
      </w:r>
      <w:r>
        <w:rPr>
          <w:rFonts w:ascii="仿宋_GB2312" w:eastAsia="仿宋_GB2312" w:hAnsi="仿宋_GB2312" w:cs="仿宋_GB2312" w:hint="eastAsia"/>
          <w:sz w:val="32"/>
          <w:szCs w:val="32"/>
        </w:rPr>
        <w:t>南》。</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（四）申请竞买</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办理好数字证书的申请人决定参加本宗地网上挂牌竞买的，应按</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要求填写真实有效的申请人身份等信息并在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提交竞买申请。联合竞买的，应当按要求如实填写联合竞买各方的相关信息和出资比例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单笔竞买保证金对应一宗国有建设用地使用权竞买，如需竞买多宗国有建设用地使用权，须分别按时足额交纳竞买保证金。竞买保证金交纳截止时间以挂牌出让公告时间为准</w:t>
      </w:r>
      <w:r>
        <w:rPr>
          <w:rFonts w:ascii="仿宋_GB2312" w:eastAsia="仿宋_GB2312" w:hAnsi="仿宋_GB2312" w:cs="仿宋_GB2312" w:hint="eastAsia"/>
          <w:sz w:val="32"/>
          <w:szCs w:val="32"/>
        </w:rPr>
        <w:t>。</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（五）交纳竞买保证金并获得竞买报价权限</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、竞买保证金是申请人参加网上挂牌交易活动的资格条件。按规定将竞买保证金汇入指定账户，是参加网上</w:t>
      </w:r>
      <w:r>
        <w:rPr>
          <w:rFonts w:ascii="仿宋_GB2312" w:eastAsia="仿宋_GB2312" w:hAnsi="仿宋_GB2312" w:cs="仿宋_GB2312" w:hint="eastAsia"/>
          <w:sz w:val="32"/>
          <w:szCs w:val="32"/>
        </w:rPr>
        <w:t>挂牌交易活动的必经程序。</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、竞买人应当提前交纳竞买保证金以确保在到账截止时间前到账，超过到账截止时间的保证金，</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将不予受理，造成的损失由竞买人自行承担。</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、跨地区或跨行转账的竞买人，需预足资金的在途时间，以免影响竞买人及时取得竞买</w:t>
      </w:r>
      <w:r>
        <w:rPr>
          <w:rFonts w:ascii="仿宋_GB2312" w:eastAsia="仿宋_GB2312" w:hAnsi="仿宋_GB2312" w:cs="仿宋_GB2312" w:hint="eastAsia"/>
          <w:sz w:val="32"/>
          <w:szCs w:val="32"/>
        </w:rPr>
        <w:t>报价权限</w:t>
      </w:r>
      <w:r>
        <w:rPr>
          <w:rFonts w:ascii="仿宋_GB2312" w:eastAsia="仿宋_GB2312" w:hAnsi="仿宋_GB2312" w:cs="仿宋_GB2312" w:hint="eastAsia"/>
          <w:sz w:val="32"/>
          <w:szCs w:val="32"/>
        </w:rPr>
        <w:t>。</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、竞买保证金到账时间以</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确认并发出《保</w:t>
      </w:r>
      <w:r>
        <w:rPr>
          <w:rFonts w:ascii="仿宋_GB2312" w:eastAsia="仿宋_GB2312" w:hAnsi="仿宋_GB2312" w:cs="仿宋_GB2312" w:hint="eastAsia"/>
          <w:sz w:val="32"/>
          <w:szCs w:val="32"/>
        </w:rPr>
        <w:lastRenderedPageBreak/>
        <w:t>证金到账通知书》为准。</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、竞买保证金开户单位：惠州市公共资源交易中心仲恺分中心</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竞买保证金账号：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随机产生竞买保证金支付账号。</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工商银</w:t>
      </w: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仲恺高新区</w:t>
      </w:r>
      <w:r>
        <w:rPr>
          <w:rFonts w:ascii="仿宋_GB2312" w:eastAsia="仿宋_GB2312" w:hAnsi="仿宋_GB2312" w:cs="仿宋_GB2312" w:hint="eastAsia"/>
          <w:sz w:val="32"/>
          <w:szCs w:val="32"/>
        </w:rPr>
        <w:t>支行；</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国银</w:t>
      </w:r>
      <w:r>
        <w:rPr>
          <w:rFonts w:ascii="仿宋_GB2312" w:eastAsia="仿宋_GB2312" w:hAnsi="仿宋_GB2312" w:cs="仿宋_GB2312" w:hint="eastAsia"/>
          <w:sz w:val="32"/>
          <w:szCs w:val="32"/>
        </w:rPr>
        <w:t>行惠州</w:t>
      </w:r>
      <w:r>
        <w:rPr>
          <w:rFonts w:ascii="仿宋_GB2312" w:eastAsia="仿宋_GB2312" w:hAnsi="仿宋_GB2312" w:cs="仿宋_GB2312" w:hint="eastAsia"/>
          <w:sz w:val="32"/>
          <w:szCs w:val="32"/>
        </w:rPr>
        <w:t>仲恺开发区支</w:t>
      </w:r>
      <w:r>
        <w:rPr>
          <w:rFonts w:ascii="仿宋_GB2312" w:eastAsia="仿宋_GB2312" w:hAnsi="仿宋_GB2312" w:cs="仿宋_GB2312" w:hint="eastAsia"/>
          <w:sz w:val="32"/>
          <w:szCs w:val="32"/>
        </w:rPr>
        <w:t>行；</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建设银行惠州开发区支行</w:t>
      </w:r>
      <w:r>
        <w:rPr>
          <w:rFonts w:ascii="仿宋_GB2312" w:eastAsia="仿宋_GB2312" w:hAnsi="仿宋_GB2312" w:cs="仿宋_GB2312" w:hint="eastAsia"/>
          <w:sz w:val="32"/>
          <w:szCs w:val="32"/>
        </w:rPr>
        <w:t>；</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中国农业银行惠州陈江支行</w:t>
      </w:r>
      <w:r>
        <w:rPr>
          <w:rFonts w:ascii="仿宋_GB2312" w:eastAsia="仿宋_GB2312" w:hAnsi="仿宋_GB2312" w:cs="仿宋_GB2312" w:hint="eastAsia"/>
          <w:sz w:val="32"/>
          <w:szCs w:val="32"/>
        </w:rPr>
        <w:t>；</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惠州农村商业银行仲恺支行</w:t>
      </w:r>
      <w:r>
        <w:rPr>
          <w:rFonts w:ascii="仿宋_GB2312" w:eastAsia="仿宋_GB2312" w:hAnsi="仿宋_GB2312" w:cs="仿宋_GB2312" w:hint="eastAsia"/>
          <w:sz w:val="32"/>
          <w:szCs w:val="32"/>
        </w:rPr>
        <w:t>；</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广发银行惠州仲恺科技园支行</w:t>
      </w:r>
      <w:r>
        <w:rPr>
          <w:rFonts w:ascii="仿宋_GB2312" w:eastAsia="仿宋_GB2312" w:hAnsi="仿宋_GB2312" w:cs="仿宋_GB2312" w:hint="eastAsia"/>
          <w:sz w:val="32"/>
          <w:szCs w:val="32"/>
        </w:rPr>
        <w:t>；</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珠海华润银行股份有限公司惠州分行</w:t>
      </w:r>
      <w:r>
        <w:rPr>
          <w:rFonts w:ascii="仿宋_GB2312" w:eastAsia="仿宋_GB2312" w:hAnsi="仿宋_GB2312" w:cs="仿宋_GB2312" w:hint="eastAsia"/>
          <w:sz w:val="32"/>
          <w:szCs w:val="32"/>
        </w:rPr>
        <w:t>；</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）上海浦东发展银行股份有限公司惠州分行；</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东莞银行惠州仲恺支行</w:t>
      </w:r>
      <w:r>
        <w:rPr>
          <w:rFonts w:ascii="仿宋_GB2312" w:eastAsia="仿宋_GB2312" w:hAnsi="仿宋_GB2312" w:cs="仿宋_GB2312" w:hint="eastAsia"/>
          <w:sz w:val="32"/>
          <w:szCs w:val="32"/>
        </w:rPr>
        <w:t>。</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申请人应根据</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生成的随机保证金账号按时足额交纳竞买保证金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确认竞买保证金到账之后，赋予竞买人对应宗地的竞买报价权限。</w:t>
      </w:r>
      <w:r>
        <w:rPr>
          <w:rFonts w:ascii="仿宋_GB2312" w:eastAsia="仿宋_GB2312" w:hAnsi="仿宋_GB2312" w:cs="仿宋_GB2312" w:hint="eastAsia"/>
          <w:sz w:val="32"/>
          <w:szCs w:val="32"/>
        </w:rPr>
        <w:t xml:space="preserve"> </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（六）竞买人电子报价及电子限时竞价</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、竞买人通过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进行报价。电子报价和电子限时竞价按以下规则进行：</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）增价方式进行报价；</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）竞买人可多次报价；</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）初次报价不得低于起始价；</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）每次增价数额应是规定的增价幅度的整数倍；</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）每次报价应当比当前最高报价至少递增</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个增价幅度。</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、竞买人应当谨慎报价，报价一经提交并经</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确认为有效报价，不可撤回。</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电子挂牌交易期限截止前，竞买人应当进行至少一次有效报价，方有资格参加该宗地的电子限时竞价。</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、电子挂牌交易宗地设有底价的，电子挂牌交易期限截止前半小时，在属地纪委监委和委托人的监督下，由</w:t>
      </w: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中心在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输入交易宗地底价。</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、电子限时竞价是指在交易公告规定的电子挂牌交易期限截止时，有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个以上的竞买人报价，且经</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询问，</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分钟内限时决定是否愿意继续报价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有竞买人愿意继续报价的，</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以高于当前最高报价一个增价幅度的价格为起始价，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开始第一次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分钟倒计时限时报价，如在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分钟内的任一时点有新的有效报价，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即从此时点起重新计算</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分钟的限时报价时间，供竞买人作新一轮报价，并按此方式不断顺延下去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直至</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分钟限时报价时间内没有新的有效报价，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将自动关闭报价通</w:t>
      </w:r>
      <w:r>
        <w:rPr>
          <w:rFonts w:ascii="仿宋_GB2312" w:eastAsia="仿宋_GB2312" w:hAnsi="仿宋_GB2312" w:cs="仿宋_GB2312" w:hint="eastAsia"/>
          <w:sz w:val="32"/>
          <w:szCs w:val="32"/>
        </w:rPr>
        <w:t>道，确认当前最高报价为最终报价，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即时显示电子挂牌竞价结果。</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、竞买人应当在电子挂牌交易期限截止前登录</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，密切关注交易动态。竞买人应当在电子挂牌交易</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限截止后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分钟内做出是否参加电子限时竞价的决定并提交</w:t>
      </w:r>
      <w:r>
        <w:rPr>
          <w:rFonts w:ascii="仿宋_GB2312" w:eastAsia="仿宋_GB2312" w:hAnsi="仿宋_GB2312" w:cs="仿宋_GB2312" w:hint="eastAsia"/>
          <w:sz w:val="32"/>
          <w:szCs w:val="32"/>
        </w:rPr>
        <w:lastRenderedPageBreak/>
        <w:t>电子交易系统</w:t>
      </w:r>
      <w:r>
        <w:rPr>
          <w:rFonts w:ascii="仿宋_GB2312" w:eastAsia="仿宋_GB2312" w:hAnsi="仿宋_GB2312" w:cs="仿宋_GB2312" w:hint="eastAsia"/>
          <w:sz w:val="32"/>
          <w:szCs w:val="32"/>
        </w:rPr>
        <w:t>，超过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分钟未提交的，</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默认该竞买人参加电子限时竞价活动。</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（七）确定成交候选人</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电子挂牌交易按照下列规则确定成交候选人：</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、在电子挂牌交易期限内只有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个竞买人报价，且报价不低于底价的，则该报价者为成交候选人；</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、电子挂牌交易期限内有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个以上的竞买人报价，经</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询问，无竞买人愿意参加电子限时竞价的，以当前报价最高且报价不低于底价者为成交候选人；</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、电子挂牌交易期限内无报价或报价低于底价的，挂牌不成交；</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、进入电子限时竞价，电子限时竞价中报价最高且报价不低于底价者为成交候选人；</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、电子限时竞价中无竞买人报价的，以电子挂牌交易截止时报价最高且报价不低于底价者为成交候选人。</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（八）成交候选人竞买资格审查</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电子挂牌交易结束后，电子挂牌竞价结果即时通过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发布。成交候选人应当在电子挂牌竞价结果公布后，按挂牌出让公告及本须知的要求将相关资料提交至</w:t>
      </w:r>
      <w:r>
        <w:rPr>
          <w:rFonts w:ascii="仿宋_GB2312" w:eastAsia="仿宋_GB2312" w:hAnsi="仿宋_GB2312" w:cs="仿宋_GB2312" w:hint="eastAsia"/>
          <w:sz w:val="32"/>
          <w:szCs w:val="32"/>
        </w:rPr>
        <w:t>仲恺</w:t>
      </w:r>
      <w:r>
        <w:rPr>
          <w:rFonts w:ascii="仿宋_GB2312" w:eastAsia="仿宋_GB2312" w:hAnsi="仿宋_GB2312" w:cs="仿宋_GB2312" w:hint="eastAsia"/>
          <w:sz w:val="32"/>
          <w:szCs w:val="32"/>
        </w:rPr>
        <w:t>高新区自然资源分局</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进行竞买资格审查。符合竞买资格的，确定成交候选人为竞得人。</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不符合竞买资格的，取消成交候选人资格，竞价结果无效。</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挂牌出让公告规定竞买资格前置审查的，竞买申请人应</w:t>
      </w:r>
      <w:r>
        <w:rPr>
          <w:rFonts w:ascii="仿宋_GB2312" w:eastAsia="仿宋_GB2312" w:hAnsi="仿宋_GB2312" w:cs="仿宋_GB2312" w:hint="eastAsia"/>
          <w:sz w:val="32"/>
          <w:szCs w:val="32"/>
        </w:rPr>
        <w:lastRenderedPageBreak/>
        <w:t>按照挂牌出让公告的要求向</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提交竞买申请文件，由</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进行竞买资格审查。</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符合竞买资格的，</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应当确认竞买申请人竞买资格并出具竞买资格确认书。竞买申请人取得竞买资格确认书后，方可参与电子挂牌交易活动。电子挂牌交易结束，成交候选人即为竞得人。</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（九）公布交</w:t>
      </w:r>
      <w:r>
        <w:rPr>
          <w:rFonts w:ascii="仿宋_GB2312" w:eastAsia="仿宋_GB2312" w:hAnsi="仿宋_GB2312" w:cs="仿宋_GB2312" w:hint="eastAsia"/>
          <w:sz w:val="32"/>
          <w:szCs w:val="32"/>
        </w:rPr>
        <w:t>易结果</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竞买资格前置审查的，交易系统自动公布交易结果；竞买资格后置审查的，</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确定竞得人后，由本中心通过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发布交易结果。</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（十）签订成交确认书和交易合同</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确定竞得人后，竞得人按挂牌交易公告规定的时间与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、本中心签订成交确认书，竞得人根据成交确认书约定的时间与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签订交易合同。</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六、系统操作</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竞买人操作视频可在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下载。</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七、注意事项</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（二）单独申请竞买的，竞买申请人为</w:t>
      </w:r>
      <w:r>
        <w:rPr>
          <w:rFonts w:ascii="仿宋_GB2312" w:eastAsia="仿宋_GB2312" w:hAnsi="仿宋_GB2312" w:cs="仿宋_GB2312" w:hint="eastAsia"/>
          <w:sz w:val="32"/>
          <w:szCs w:val="32"/>
        </w:rPr>
        <w:t>非仲恺高新区注</w:t>
      </w:r>
      <w:r>
        <w:rPr>
          <w:rFonts w:ascii="仿宋_GB2312" w:eastAsia="仿宋_GB2312" w:hAnsi="仿宋_GB2312" w:cs="仿宋_GB2312" w:hint="eastAsia"/>
          <w:sz w:val="32"/>
          <w:szCs w:val="32"/>
        </w:rPr>
        <w:lastRenderedPageBreak/>
        <w:t>册登记的企业竞得土地使用权的，必须在竞得土地后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个月内在惠州仲恺高新区管理委员会市场监督管理局注册成立项目开发公司，并以该公司名义办理土地出让与登记发证手续</w:t>
      </w:r>
      <w:r>
        <w:rPr>
          <w:rFonts w:ascii="仿宋_GB2312" w:eastAsia="仿宋_GB2312" w:hAnsi="仿宋_GB2312" w:cs="仿宋_GB2312" w:hint="eastAsia"/>
          <w:sz w:val="32"/>
          <w:szCs w:val="32"/>
        </w:rPr>
        <w:t>。新成立公司必须是竞得人的全资子公司，即新公司的股东必须</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是竞买申请人。根据挂牌出让结果，竞得人</w:t>
      </w:r>
      <w:r>
        <w:rPr>
          <w:rFonts w:ascii="仿宋_GB2312" w:eastAsia="仿宋_GB2312" w:hAnsi="仿宋_GB2312" w:cs="仿宋_GB2312" w:hint="eastAsia"/>
          <w:sz w:val="32"/>
          <w:szCs w:val="32"/>
        </w:rPr>
        <w:t>可先与出让人签订出让合同，在竞得人按约定办理完新公司注册登记手续后，新公司再与出让人签订出让合同补充条款；也可按约定直接与新公司签订出让合同。</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须在竞得土地后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个月内在惠州仲恺高新区管理委员会市场监督管理局，</w:t>
      </w:r>
      <w:r>
        <w:rPr>
          <w:rFonts w:ascii="仿宋_GB2312" w:eastAsia="仿宋_GB2312" w:hAnsi="仿宋_GB2312" w:cs="仿宋_GB2312" w:hint="eastAsia"/>
          <w:sz w:val="32"/>
          <w:szCs w:val="32"/>
        </w:rPr>
        <w:t>按照申请书申报的出资人及出资比例设立新公司。根据挂牌出让结果，竞得人可先与出让人签订出让合同，在竞得人按约定办理完新公司注</w:t>
      </w:r>
      <w:r>
        <w:rPr>
          <w:rFonts w:ascii="仿宋_GB2312" w:eastAsia="仿宋_GB2312" w:hAnsi="仿宋_GB2312" w:cs="仿宋_GB2312" w:hint="eastAsia"/>
          <w:sz w:val="32"/>
          <w:szCs w:val="32"/>
        </w:rPr>
        <w:t>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境外成交候选人按照规定提交的有关身份证明及其他相关文件，应按规定由中华人民共和国驻该国、该地区大使馆或领事馆公证或认证；香港成交候选人身份证明及其他相</w:t>
      </w:r>
      <w:r>
        <w:rPr>
          <w:rFonts w:ascii="仿宋_GB2312" w:eastAsia="仿宋_GB2312" w:hAnsi="仿宋_GB2312" w:cs="仿宋_GB2312" w:hint="eastAsia"/>
          <w:sz w:val="32"/>
          <w:szCs w:val="32"/>
        </w:rPr>
        <w:lastRenderedPageBreak/>
        <w:t>关文件应由中华人民共和国司法部授权的香港律师公证人公证并由中国法律服务（香港</w:t>
      </w:r>
      <w:r>
        <w:rPr>
          <w:rFonts w:ascii="仿宋_GB2312" w:eastAsia="仿宋_GB2312" w:hAnsi="仿宋_GB2312" w:cs="仿宋_GB2312" w:hint="eastAsia"/>
          <w:sz w:val="32"/>
          <w:szCs w:val="32"/>
        </w:rPr>
        <w:t>）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（四）《竞价结果通知书》对挂牌人和成交候选人具有法律效力，挂牌人改变网上挂牌结果的，或者成交候选人放弃竞得宗地的，应当承担相应法律责任。</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竞得人应按挂牌出让公告规定的时间与</w:t>
      </w:r>
      <w:r>
        <w:rPr>
          <w:rFonts w:ascii="仿宋_GB2312" w:eastAsia="仿宋_GB2312" w:hAnsi="仿宋_GB2312" w:cs="仿宋_GB2312" w:hint="eastAsia"/>
          <w:sz w:val="32"/>
          <w:szCs w:val="32"/>
        </w:rPr>
        <w:t>本中心、</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签订成交确认书，根据成交确认书约定的时间与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签订出让合同，并按合同约定支付成交价款。</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（五）本中心</w:t>
      </w:r>
      <w:r>
        <w:rPr>
          <w:rFonts w:ascii="仿宋_GB2312" w:eastAsia="仿宋_GB2312" w:hAnsi="仿宋_GB2312" w:cs="仿宋_GB2312" w:hint="eastAsia"/>
          <w:sz w:val="32"/>
          <w:szCs w:val="32"/>
        </w:rPr>
        <w:t>受托提供代收代退竞买保证金服务，未竞得人交纳的竞买保证金于电子挂牌交易活动结束之日起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个工作日内原路退还，不计利息。</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竞得人交纳的竞买保证金转付成交价款，办理转付成交价款手续应带齐如下相关资料：</w:t>
      </w:r>
    </w:p>
    <w:p w:rsidR="002B1F87" w:rsidRDefault="00565C28">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、非税收入缴款通知；</w:t>
      </w:r>
    </w:p>
    <w:p w:rsidR="002B1F87" w:rsidRDefault="00565C28">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银行端查询缴税凭证；</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保证金到账通知书；</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交易结果通知书；</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保证金转账凭证。</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（六）为避免网络延迟问题，竞买人首次报价应在网上</w:t>
      </w:r>
      <w:r>
        <w:rPr>
          <w:rFonts w:ascii="仿宋_GB2312" w:eastAsia="仿宋_GB2312" w:hAnsi="仿宋_GB2312" w:cs="仿宋_GB2312" w:hint="eastAsia"/>
          <w:sz w:val="32"/>
          <w:szCs w:val="32"/>
        </w:rPr>
        <w:lastRenderedPageBreak/>
        <w:t>挂牌截止前</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分钟提交，以防止</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无法及时接收到报价的情况发生。</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分钟倒计时竞价期间，请不要在最后时点报价，以防网络延时造成报价提交不成功。</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待问题排查、清除后，依法重新组织交易活动。</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、电子交易系统受到黑客、病毒恶意攻击的；</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、公共资源交易平台因停电、电子交易系统故障、网络故障、交易软件或数据库错误等因素影响到交易活动不能正常进行的；</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、电子交易系统发现有安全漏洞，有潜在泄密危险，无法保证电子交易信息安全和公平公正交易的；</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、政府有关行政主</w:t>
      </w:r>
      <w:r>
        <w:rPr>
          <w:rFonts w:ascii="仿宋_GB2312" w:eastAsia="仿宋_GB2312" w:hAnsi="仿宋_GB2312" w:cs="仿宋_GB2312" w:hint="eastAsia"/>
          <w:sz w:val="32"/>
          <w:szCs w:val="32"/>
        </w:rPr>
        <w:t>管部门及司法机关依法要求暂停、中止或终止交易的；</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、委托人书面通知交易中心要求暂停、中止或终止交易的；</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、依法应当暂停、中止或终止交易的其他情形。</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（八）网上挂牌成交价即为该宗地的出让总地价款，竞得人除支付成交价款外，还需支付契税、印花税等有关费用。</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（九）竞得人与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签订出让合同后，应当按出让合同约定支付网上挂牌成交价款。竞得人付清全部成交价款后，依法申请办理土地登记，领取《不动产</w:t>
      </w:r>
      <w:r>
        <w:rPr>
          <w:rFonts w:ascii="仿宋_GB2312" w:eastAsia="仿宋_GB2312" w:hAnsi="仿宋_GB2312" w:cs="仿宋_GB2312" w:hint="eastAsia"/>
          <w:sz w:val="32"/>
          <w:szCs w:val="32"/>
        </w:rPr>
        <w:lastRenderedPageBreak/>
        <w:t>权证书》。</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（十）网上挂牌不成交的，由</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重新组织挂牌出让。</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（十一）出让公告、竞买须知及相关交易文件需要修改、补充时，将通过原公告发布渠道公告，不作另行通知。</w:t>
      </w:r>
    </w:p>
    <w:p w:rsidR="002B1F87" w:rsidRDefault="00565C2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申请人应当及时关注该宗地的网上挂牌交易信息。本中心发出的修改、补充公告，与出让公告、竞买须知及相关交易文件具有同等效力。若与出让公告、竞买须知及相关交易文件有矛盾时，以日期在后者为准。</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（十二）本竞买须知及出让公告涉及的时间期限，以</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服务器的时间为准。</w:t>
      </w:r>
    </w:p>
    <w:p w:rsidR="002B1F87" w:rsidRDefault="00565C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（十三）本中心对本《须知》有解释权。未尽事宜依照《招标拍卖挂牌出让国有土地使用权规范》办理。</w:t>
      </w:r>
    </w:p>
    <w:p w:rsidR="002B1F87" w:rsidRDefault="002B1F87">
      <w:pPr>
        <w:spacing w:line="560" w:lineRule="exact"/>
        <w:rPr>
          <w:rFonts w:ascii="仿宋_GB2312" w:eastAsia="仿宋_GB2312" w:hAnsi="仿宋_GB2312" w:cs="仿宋_GB2312"/>
          <w:sz w:val="32"/>
          <w:szCs w:val="32"/>
        </w:rPr>
      </w:pPr>
    </w:p>
    <w:p w:rsidR="002B1F87" w:rsidRDefault="002B1F87">
      <w:pPr>
        <w:spacing w:line="560" w:lineRule="exact"/>
        <w:rPr>
          <w:rFonts w:ascii="仿宋_GB2312" w:eastAsia="仿宋_GB2312" w:hAnsi="仿宋_GB2312" w:cs="仿宋_GB2312"/>
          <w:sz w:val="32"/>
          <w:szCs w:val="32"/>
        </w:rPr>
      </w:pPr>
    </w:p>
    <w:p w:rsidR="002B1F87" w:rsidRDefault="002B1F87">
      <w:pPr>
        <w:spacing w:line="560" w:lineRule="exact"/>
        <w:rPr>
          <w:rFonts w:ascii="仿宋_GB2312" w:eastAsia="仿宋_GB2312" w:hAnsi="仿宋_GB2312" w:cs="仿宋_GB2312"/>
          <w:sz w:val="32"/>
          <w:szCs w:val="32"/>
        </w:rPr>
      </w:pPr>
    </w:p>
    <w:p w:rsidR="002B1F87" w:rsidRDefault="00565C2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惠州市公共资源交易中心</w:t>
      </w:r>
      <w:r>
        <w:rPr>
          <w:rFonts w:ascii="仿宋_GB2312" w:eastAsia="仿宋_GB2312" w:hAnsi="仿宋_GB2312" w:cs="仿宋_GB2312" w:hint="eastAsia"/>
          <w:sz w:val="32"/>
          <w:szCs w:val="32"/>
        </w:rPr>
        <w:t>仲恺分中心</w:t>
      </w:r>
    </w:p>
    <w:p w:rsidR="002B1F87" w:rsidRDefault="00565C28">
      <w:pPr>
        <w:spacing w:line="560" w:lineRule="exact"/>
        <w:jc w:val="center"/>
        <w:rPr>
          <w:rFonts w:ascii="仿宋" w:eastAsia="仿宋" w:hAnsi="仿宋" w:cs="仿宋"/>
          <w:sz w:val="32"/>
          <w:szCs w:val="32"/>
        </w:rPr>
      </w:pPr>
      <w:r>
        <w:rPr>
          <w:rFonts w:ascii="仿宋_GB2312" w:eastAsia="仿宋_GB2312" w:hAnsi="仿宋_GB2312" w:cs="仿宋_GB2312" w:hint="eastAsia"/>
          <w:sz w:val="32"/>
          <w:szCs w:val="32"/>
        </w:rPr>
        <w:t xml:space="preserve">                      2025</w:t>
      </w:r>
      <w:r>
        <w:rPr>
          <w:rFonts w:ascii="仿宋_GB2312" w:eastAsia="仿宋_GB2312" w:hAnsi="仿宋_GB2312" w:cs="仿宋_GB2312" w:hint="eastAsia"/>
          <w:sz w:val="32"/>
          <w:szCs w:val="32"/>
        </w:rPr>
        <w:t>年</w:t>
      </w:r>
      <w:r w:rsidR="00F63248">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F63248">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p>
    <w:p w:rsidR="002B1F87" w:rsidRDefault="002B1F87">
      <w:pPr>
        <w:spacing w:line="520" w:lineRule="exact"/>
      </w:pPr>
    </w:p>
    <w:sectPr w:rsidR="002B1F87" w:rsidSect="002B1F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C28" w:rsidRDefault="00565C28" w:rsidP="002B1F87">
      <w:r>
        <w:separator/>
      </w:r>
    </w:p>
  </w:endnote>
  <w:endnote w:type="continuationSeparator" w:id="0">
    <w:p w:rsidR="00565C28" w:rsidRDefault="00565C28" w:rsidP="002B1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宋体"/>
    <w:charset w:val="86"/>
    <w:family w:val="auto"/>
    <w:pitch w:val="default"/>
    <w:sig w:usb0="00000000" w:usb1="0000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auto"/>
    <w:pitch w:val="default"/>
    <w:sig w:usb0="00000000" w:usb1="0000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87" w:rsidRDefault="002B1F87">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B1F87" w:rsidRDefault="002B1F87">
                <w:pPr>
                  <w:pStyle w:val="a4"/>
                </w:pPr>
                <w:r>
                  <w:fldChar w:fldCharType="begin"/>
                </w:r>
                <w:r w:rsidR="00565C28">
                  <w:instrText xml:space="preserve"> PAGE  \* MERGEFORMAT </w:instrText>
                </w:r>
                <w:r>
                  <w:fldChar w:fldCharType="separate"/>
                </w:r>
                <w:r w:rsidR="00F63248">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C28" w:rsidRDefault="00565C28" w:rsidP="002B1F87">
      <w:r>
        <w:separator/>
      </w:r>
    </w:p>
  </w:footnote>
  <w:footnote w:type="continuationSeparator" w:id="0">
    <w:p w:rsidR="00565C28" w:rsidRDefault="00565C28" w:rsidP="002B1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RjZjdkMjExYmQyYTMzOGJmZGE3NGNlZTRkZDdjOWEifQ=="/>
  </w:docVars>
  <w:rsids>
    <w:rsidRoot w:val="4DEF7E0D"/>
    <w:rsid w:val="002A70DF"/>
    <w:rsid w:val="002B1F87"/>
    <w:rsid w:val="004E0656"/>
    <w:rsid w:val="00565C28"/>
    <w:rsid w:val="008B1170"/>
    <w:rsid w:val="00DF1B89"/>
    <w:rsid w:val="00EB541A"/>
    <w:rsid w:val="00F63248"/>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FA0C6A"/>
    <w:rsid w:val="141D5F4E"/>
    <w:rsid w:val="142741E7"/>
    <w:rsid w:val="14EA1252"/>
    <w:rsid w:val="14F23615"/>
    <w:rsid w:val="15315678"/>
    <w:rsid w:val="15AC5FED"/>
    <w:rsid w:val="15C81688"/>
    <w:rsid w:val="174D7B68"/>
    <w:rsid w:val="176846B9"/>
    <w:rsid w:val="17975765"/>
    <w:rsid w:val="17CE5597"/>
    <w:rsid w:val="17E66345"/>
    <w:rsid w:val="18014B51"/>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BB1447E"/>
    <w:rsid w:val="5C185F3C"/>
    <w:rsid w:val="5C291B49"/>
    <w:rsid w:val="5C7B3DE4"/>
    <w:rsid w:val="5C9B5593"/>
    <w:rsid w:val="5CB27CA0"/>
    <w:rsid w:val="5CF80CDE"/>
    <w:rsid w:val="5D2B0C71"/>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5622AE"/>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1"/>
    <w:qFormat/>
    <w:rsid w:val="002B1F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NewNewNewNewNewNewNewNewNewNewNewNewNewNewNewNewNewNewNewNewNewNewNewNewNewNewNewNewNewNewNew"/>
    <w:uiPriority w:val="1"/>
    <w:qFormat/>
    <w:rsid w:val="002B1F87"/>
    <w:pPr>
      <w:adjustRightInd w:val="0"/>
      <w:snapToGrid w:val="0"/>
      <w:spacing w:line="620" w:lineRule="exact"/>
      <w:ind w:firstLineChars="200" w:firstLine="200"/>
    </w:pPr>
    <w:rPr>
      <w:rFonts w:cs="Times New Roman"/>
      <w:sz w:val="32"/>
      <w:szCs w:val="21"/>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next w:val="Style1"/>
    <w:qFormat/>
    <w:rsid w:val="002B1F87"/>
    <w:pPr>
      <w:widowControl w:val="0"/>
      <w:jc w:val="both"/>
    </w:pPr>
    <w:rPr>
      <w:rFonts w:ascii="Calibri" w:hAnsi="Calibri" w:cs="黑体"/>
      <w:kern w:val="2"/>
      <w:sz w:val="21"/>
      <w:szCs w:val="22"/>
    </w:rPr>
  </w:style>
  <w:style w:type="paragraph" w:styleId="a3">
    <w:name w:val="Normal Indent"/>
    <w:basedOn w:val="a"/>
    <w:unhideWhenUsed/>
    <w:qFormat/>
    <w:rsid w:val="002B1F87"/>
    <w:pPr>
      <w:ind w:firstLineChars="200" w:firstLine="420"/>
    </w:pPr>
  </w:style>
  <w:style w:type="paragraph" w:styleId="a4">
    <w:name w:val="footer"/>
    <w:basedOn w:val="a"/>
    <w:qFormat/>
    <w:rsid w:val="002B1F87"/>
    <w:pPr>
      <w:tabs>
        <w:tab w:val="center" w:pos="4153"/>
        <w:tab w:val="right" w:pos="8306"/>
      </w:tabs>
      <w:snapToGrid w:val="0"/>
      <w:jc w:val="left"/>
    </w:pPr>
    <w:rPr>
      <w:sz w:val="18"/>
    </w:rPr>
  </w:style>
  <w:style w:type="paragraph" w:styleId="a5">
    <w:name w:val="header"/>
    <w:basedOn w:val="a"/>
    <w:qFormat/>
    <w:rsid w:val="002B1F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2B1F87"/>
    <w:pPr>
      <w:jc w:val="left"/>
    </w:pPr>
    <w:rPr>
      <w:kern w:val="0"/>
      <w:sz w:val="24"/>
    </w:rPr>
  </w:style>
  <w:style w:type="character" w:styleId="a7">
    <w:name w:val="Strong"/>
    <w:basedOn w:val="a0"/>
    <w:qFormat/>
    <w:rsid w:val="002B1F87"/>
    <w:rPr>
      <w:b/>
    </w:rPr>
  </w:style>
  <w:style w:type="character" w:styleId="a8">
    <w:name w:val="FollowedHyperlink"/>
    <w:basedOn w:val="a0"/>
    <w:qFormat/>
    <w:rsid w:val="002B1F87"/>
    <w:rPr>
      <w:color w:val="337AB7"/>
      <w:u w:val="none"/>
    </w:rPr>
  </w:style>
  <w:style w:type="character" w:styleId="HTML">
    <w:name w:val="HTML Definition"/>
    <w:basedOn w:val="a0"/>
    <w:qFormat/>
    <w:rsid w:val="002B1F87"/>
    <w:rPr>
      <w:i/>
    </w:rPr>
  </w:style>
  <w:style w:type="character" w:styleId="a9">
    <w:name w:val="Hyperlink"/>
    <w:basedOn w:val="a0"/>
    <w:qFormat/>
    <w:rsid w:val="002B1F87"/>
    <w:rPr>
      <w:color w:val="337AB7"/>
      <w:u w:val="none"/>
    </w:rPr>
  </w:style>
  <w:style w:type="character" w:styleId="HTML0">
    <w:name w:val="HTML Code"/>
    <w:basedOn w:val="a0"/>
    <w:qFormat/>
    <w:rsid w:val="002B1F87"/>
    <w:rPr>
      <w:rFonts w:ascii="Consolas" w:eastAsia="Consolas" w:hAnsi="Consolas" w:cs="Consolas"/>
      <w:color w:val="C7254E"/>
      <w:sz w:val="21"/>
      <w:szCs w:val="21"/>
      <w:shd w:val="clear" w:color="auto" w:fill="F9F2F4"/>
    </w:rPr>
  </w:style>
  <w:style w:type="character" w:styleId="HTML1">
    <w:name w:val="HTML Keyboard"/>
    <w:basedOn w:val="a0"/>
    <w:qFormat/>
    <w:rsid w:val="002B1F87"/>
    <w:rPr>
      <w:rFonts w:ascii="Consolas" w:eastAsia="Consolas" w:hAnsi="Consolas" w:cs="Consolas" w:hint="default"/>
      <w:color w:val="FFFFFF"/>
      <w:sz w:val="21"/>
      <w:szCs w:val="21"/>
      <w:shd w:val="clear" w:color="auto" w:fill="333333"/>
    </w:rPr>
  </w:style>
  <w:style w:type="character" w:styleId="HTML2">
    <w:name w:val="HTML Sample"/>
    <w:basedOn w:val="a0"/>
    <w:qFormat/>
    <w:rsid w:val="002B1F87"/>
    <w:rPr>
      <w:rFonts w:ascii="Consolas" w:eastAsia="Consolas" w:hAnsi="Consolas" w:cs="Consolas" w:hint="default"/>
      <w:sz w:val="21"/>
      <w:szCs w:val="21"/>
    </w:rPr>
  </w:style>
  <w:style w:type="character" w:customStyle="1" w:styleId="first-child">
    <w:name w:val="first-child"/>
    <w:basedOn w:val="a0"/>
    <w:qFormat/>
    <w:rsid w:val="002B1F87"/>
  </w:style>
  <w:style w:type="character" w:customStyle="1" w:styleId="layui-layer-tabnow">
    <w:name w:val="layui-layer-tabnow"/>
    <w:basedOn w:val="a0"/>
    <w:qFormat/>
    <w:rsid w:val="002B1F87"/>
    <w:rPr>
      <w:bdr w:val="single" w:sz="6" w:space="0" w:color="CCCCCC"/>
      <w:shd w:val="clear" w:color="auto" w:fill="FFFFFF"/>
    </w:rPr>
  </w:style>
  <w:style w:type="character" w:customStyle="1" w:styleId="actspan">
    <w:name w:val="actspan"/>
    <w:basedOn w:val="a0"/>
    <w:qFormat/>
    <w:rsid w:val="002B1F8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794</Words>
  <Characters>4529</Characters>
  <Application>Microsoft Office Word</Application>
  <DocSecurity>0</DocSecurity>
  <Lines>37</Lines>
  <Paragraphs>10</Paragraphs>
  <ScaleCrop>false</ScaleCrop>
  <Company>仲恺高新技术开发区</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2025-12-30T10:06:00Z</cp:lastPrinted>
  <dcterms:created xsi:type="dcterms:W3CDTF">2022-09-06T01:51:00Z</dcterms:created>
  <dcterms:modified xsi:type="dcterms:W3CDTF">2025-12-30T10:06:00Z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F843CF0D327D4E21833F39F82CBDFF1F_13</vt:lpwstr>
  </property>
  <property fmtid="{D5CDD505-2E9C-101B-9397-08002B2CF9AE}" pid="4" name="KSOTemplateDocerSaveRecord">
    <vt:lpwstr>eyJoZGlkIjoiOGRjZjdkMjExYmQyYTMzOGJmZGE3NGNlZTRkZDdjOWEiLCJ1c2VySWQiOiIxNTUxNjA3NTU1In0=</vt:lpwstr>
  </property>
</Properties>
</file>